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5C07B" w14:textId="77777777" w:rsidR="00A22C73" w:rsidRPr="00816C07" w:rsidRDefault="00A22C73" w:rsidP="00A22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6C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14:paraId="1545EF46" w14:textId="77777777" w:rsidR="00A22C73" w:rsidRPr="00816C07" w:rsidRDefault="00A22C73" w:rsidP="00A22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</w:pPr>
      <w:r w:rsidRPr="00816C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ОДЕСЬКИЙ НАЦІОНАЛЬНИЙ ЕКОНОМІЧНИЙ УНІВЕРСИТЕТ</w:t>
      </w:r>
    </w:p>
    <w:p w14:paraId="36F919EF" w14:textId="77777777" w:rsidR="00A22C73" w:rsidRPr="00816C07" w:rsidRDefault="00A22C73" w:rsidP="00A2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64C6EF" w14:textId="11BD6C23" w:rsidR="00A22C73" w:rsidRPr="00816C07" w:rsidRDefault="00A22C73" w:rsidP="00A2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6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фінансів</w:t>
      </w:r>
      <w:r w:rsidRPr="00816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</w:p>
    <w:p w14:paraId="55F3AABE" w14:textId="77777777" w:rsidR="00A22C73" w:rsidRPr="00816C07" w:rsidRDefault="00A22C73" w:rsidP="00A22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EA2DBC" w14:textId="77777777" w:rsidR="00A22C73" w:rsidRPr="00816C07" w:rsidRDefault="00A22C73" w:rsidP="00A22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E98905" w14:textId="77777777" w:rsidR="00A22C73" w:rsidRPr="00816C07" w:rsidRDefault="00A22C73" w:rsidP="00A22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6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16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16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16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16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16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16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7B3A6B3D" w14:textId="77777777" w:rsidR="00A22C73" w:rsidRPr="00816C07" w:rsidRDefault="00A22C73" w:rsidP="00A22C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B310EFB" w14:textId="77777777" w:rsidR="00A22C73" w:rsidRPr="00816C07" w:rsidRDefault="00A22C73" w:rsidP="00A22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18648F" w14:textId="77777777" w:rsidR="00A22C73" w:rsidRPr="00816C07" w:rsidRDefault="00A22C73" w:rsidP="00A2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66D6B6AF" w14:textId="77777777" w:rsidR="00A22C73" w:rsidRPr="00816C07" w:rsidRDefault="00A22C73" w:rsidP="00A2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562B57C7" w14:textId="77777777" w:rsidR="00A22C73" w:rsidRPr="00816C07" w:rsidRDefault="00A22C73" w:rsidP="00A2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57D33EF7" w14:textId="77777777" w:rsidR="00A22C73" w:rsidRPr="00816C07" w:rsidRDefault="00A22C73" w:rsidP="00A22C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816C07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РЕФЕРАТ </w:t>
      </w:r>
    </w:p>
    <w:p w14:paraId="5E23631E" w14:textId="77777777" w:rsidR="00A22C73" w:rsidRPr="00816C07" w:rsidRDefault="00A22C73" w:rsidP="00A22C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x-none"/>
        </w:rPr>
      </w:pPr>
      <w:r w:rsidRPr="00816C07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кваліфікаційної </w:t>
      </w:r>
      <w:r w:rsidRPr="00816C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роботи</w:t>
      </w:r>
    </w:p>
    <w:p w14:paraId="0E9E6A7D" w14:textId="77777777" w:rsidR="00A22C73" w:rsidRPr="00816C07" w:rsidRDefault="00A22C73" w:rsidP="00A22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6C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здобуття освітнього ступеня магістра</w:t>
      </w:r>
    </w:p>
    <w:p w14:paraId="6E680929" w14:textId="6B3C230E" w:rsidR="00A22C73" w:rsidRPr="00816C07" w:rsidRDefault="00A22C73" w:rsidP="00A2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6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спеціальності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фінанси, банківська справа та страхування </w:t>
      </w:r>
    </w:p>
    <w:p w14:paraId="7B9DC1F8" w14:textId="77777777" w:rsidR="00A22C73" w:rsidRDefault="00A22C73" w:rsidP="00A2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6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магістерською програмою професійного спрямування </w:t>
      </w:r>
    </w:p>
    <w:p w14:paraId="0E1A897A" w14:textId="5405BFD9" w:rsidR="00A22C73" w:rsidRPr="00816C07" w:rsidRDefault="00A22C73" w:rsidP="00A2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публічними фінансами</w:t>
      </w:r>
    </w:p>
    <w:p w14:paraId="2B18B482" w14:textId="77777777" w:rsidR="00A22C73" w:rsidRPr="00816C07" w:rsidRDefault="00A22C73" w:rsidP="00A22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D1B8FD" w14:textId="279EB153" w:rsidR="00A22C73" w:rsidRPr="00816C07" w:rsidRDefault="00A22C73" w:rsidP="00A22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6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тему: </w:t>
      </w:r>
      <w:r w:rsidRPr="00816C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F81367">
        <w:rPr>
          <w:rFonts w:ascii="Times New Roman" w:eastAsia="Times New Roman" w:hAnsi="Times New Roman" w:cs="Times New Roman"/>
          <w:sz w:val="28"/>
          <w:szCs w:val="28"/>
          <w:lang w:val="uk-UA"/>
        </w:rPr>
        <w:t>Акцизне оподаткування</w:t>
      </w:r>
      <w:r w:rsidRPr="00F81367">
        <w:rPr>
          <w:rFonts w:eastAsia="Calibri"/>
          <w:lang w:val="uk-UA"/>
        </w:rPr>
        <w:t xml:space="preserve"> </w:t>
      </w:r>
      <w:r w:rsidRPr="00F81367">
        <w:rPr>
          <w:rFonts w:ascii="Times New Roman" w:eastAsia="Times New Roman" w:hAnsi="Times New Roman" w:cs="Times New Roman"/>
          <w:sz w:val="28"/>
          <w:szCs w:val="28"/>
          <w:lang w:val="uk-UA"/>
        </w:rPr>
        <w:t>в системі формування бюджетних ресурсів</w:t>
      </w:r>
      <w:r w:rsidRPr="00816C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5F88FE67" w14:textId="77777777" w:rsidR="00A22C73" w:rsidRPr="00816C07" w:rsidRDefault="00A22C73" w:rsidP="00A22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594B09A" w14:textId="77777777" w:rsidR="00A22C73" w:rsidRPr="00816C07" w:rsidRDefault="00A22C73" w:rsidP="00A22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6C3E30A" w14:textId="77777777" w:rsidR="00A22C73" w:rsidRPr="00A22C73" w:rsidRDefault="00A22C73" w:rsidP="00A22C73">
      <w:pPr>
        <w:spacing w:after="160" w:line="259" w:lineRule="auto"/>
        <w:ind w:right="1278"/>
        <w:jc w:val="right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A22C73">
        <w:rPr>
          <w:rFonts w:ascii="Times New Roman" w:eastAsia="Calibri" w:hAnsi="Times New Roman" w:cs="Times New Roman"/>
          <w:b/>
          <w:sz w:val="28"/>
        </w:rPr>
        <w:t>Виконавець</w:t>
      </w:r>
      <w:proofErr w:type="spellEnd"/>
      <w:r w:rsidRPr="00A22C73">
        <w:rPr>
          <w:rFonts w:ascii="Times New Roman" w:eastAsia="Calibri" w:hAnsi="Times New Roman" w:cs="Times New Roman"/>
          <w:b/>
          <w:sz w:val="28"/>
        </w:rPr>
        <w:t>:</w:t>
      </w:r>
    </w:p>
    <w:p w14:paraId="13E9C922" w14:textId="77777777" w:rsidR="00A22C73" w:rsidRPr="00A22C73" w:rsidRDefault="00A22C73" w:rsidP="00A22C73">
      <w:pPr>
        <w:widowControl w:val="0"/>
        <w:autoSpaceDE w:val="0"/>
        <w:autoSpaceDN w:val="0"/>
        <w:spacing w:after="0" w:line="240" w:lineRule="atLeast"/>
        <w:ind w:left="425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87744415"/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</w:t>
      </w:r>
      <w:r w:rsidRPr="00A22C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6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курсу</w:t>
      </w:r>
      <w:r w:rsidRPr="00A22C7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М-7 гр. ЦЗВФН</w:t>
      </w:r>
    </w:p>
    <w:p w14:paraId="0AD5D04E" w14:textId="77777777" w:rsidR="00A22C73" w:rsidRPr="00A22C73" w:rsidRDefault="00A22C73" w:rsidP="00A22C73">
      <w:pPr>
        <w:widowControl w:val="0"/>
        <w:tabs>
          <w:tab w:val="left" w:pos="8782"/>
          <w:tab w:val="left" w:pos="9968"/>
        </w:tabs>
        <w:autoSpaceDE w:val="0"/>
        <w:autoSpaceDN w:val="0"/>
        <w:spacing w:after="0" w:line="240" w:lineRule="atLeast"/>
        <w:ind w:left="425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87744340"/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Михайлюк Анатолій Вікторович </w:t>
      </w:r>
      <w:bookmarkEnd w:id="1"/>
      <w:r w:rsidRPr="00A22C7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bookmarkEnd w:id="0"/>
    <w:p w14:paraId="47A50798" w14:textId="77777777" w:rsidR="00A22C73" w:rsidRPr="00A22C73" w:rsidRDefault="00A22C73" w:rsidP="00A22C73">
      <w:pPr>
        <w:spacing w:after="160" w:line="259" w:lineRule="auto"/>
        <w:ind w:right="1278"/>
        <w:jc w:val="right"/>
        <w:rPr>
          <w:rFonts w:ascii="Times New Roman" w:eastAsia="Calibri" w:hAnsi="Times New Roman" w:cs="Times New Roman"/>
          <w:szCs w:val="28"/>
          <w:lang w:val="uk-UA"/>
        </w:rPr>
      </w:pPr>
    </w:p>
    <w:p w14:paraId="21212218" w14:textId="77777777" w:rsidR="00A22C73" w:rsidRPr="00A22C73" w:rsidRDefault="00A22C73" w:rsidP="00A22C73">
      <w:pPr>
        <w:spacing w:after="160" w:line="259" w:lineRule="auto"/>
        <w:ind w:right="1278"/>
        <w:jc w:val="right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A22C73">
        <w:rPr>
          <w:rFonts w:ascii="Times New Roman" w:eastAsia="Calibri" w:hAnsi="Times New Roman" w:cs="Times New Roman"/>
          <w:b/>
          <w:sz w:val="28"/>
        </w:rPr>
        <w:t>Науковий</w:t>
      </w:r>
      <w:proofErr w:type="spellEnd"/>
      <w:r w:rsidRPr="00A22C73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A22C73">
        <w:rPr>
          <w:rFonts w:ascii="Times New Roman" w:eastAsia="Calibri" w:hAnsi="Times New Roman" w:cs="Times New Roman"/>
          <w:b/>
          <w:sz w:val="28"/>
        </w:rPr>
        <w:t>керівник</w:t>
      </w:r>
      <w:proofErr w:type="spellEnd"/>
      <w:r w:rsidRPr="00A22C73">
        <w:rPr>
          <w:rFonts w:ascii="Times New Roman" w:eastAsia="Calibri" w:hAnsi="Times New Roman" w:cs="Times New Roman"/>
          <w:b/>
          <w:sz w:val="28"/>
        </w:rPr>
        <w:t>:</w:t>
      </w:r>
    </w:p>
    <w:p w14:paraId="0F25BE53" w14:textId="77777777" w:rsidR="00A22C73" w:rsidRPr="00A22C73" w:rsidRDefault="00A22C73" w:rsidP="00A22C73">
      <w:pPr>
        <w:widowControl w:val="0"/>
        <w:autoSpaceDE w:val="0"/>
        <w:autoSpaceDN w:val="0"/>
        <w:spacing w:after="0" w:line="240" w:lineRule="atLeast"/>
        <w:ind w:left="425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Hlk87736358"/>
      <w:bookmarkStart w:id="3" w:name="_Hlk87733529"/>
      <w:bookmarkStart w:id="4" w:name="_Hlk87744399"/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., професор</w:t>
      </w:r>
      <w:bookmarkEnd w:id="2"/>
    </w:p>
    <w:p w14:paraId="36033432" w14:textId="77777777" w:rsidR="00A22C73" w:rsidRPr="00A22C73" w:rsidRDefault="00A22C73" w:rsidP="00A22C73">
      <w:pPr>
        <w:widowControl w:val="0"/>
        <w:tabs>
          <w:tab w:val="left" w:pos="8777"/>
          <w:tab w:val="left" w:pos="9963"/>
        </w:tabs>
        <w:autoSpaceDE w:val="0"/>
        <w:autoSpaceDN w:val="0"/>
        <w:spacing w:after="0" w:line="240" w:lineRule="atLeast"/>
        <w:ind w:left="425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87736368"/>
      <w:bookmarkEnd w:id="3"/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Слатвінська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Марина Олександрівна </w:t>
      </w:r>
      <w:bookmarkEnd w:id="5"/>
    </w:p>
    <w:bookmarkEnd w:id="4"/>
    <w:p w14:paraId="33F624ED" w14:textId="77777777" w:rsidR="00A22C73" w:rsidRPr="00A22C73" w:rsidRDefault="00A22C73" w:rsidP="00A22C73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F36BDF" w14:textId="77777777" w:rsidR="00A22C73" w:rsidRPr="00A22C73" w:rsidRDefault="00A22C73" w:rsidP="00A22C7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7E0057" w14:textId="332D84C6" w:rsidR="00A22C73" w:rsidRDefault="00A22C73" w:rsidP="00A22C73">
      <w:pPr>
        <w:widowControl w:val="0"/>
        <w:tabs>
          <w:tab w:val="left" w:pos="8777"/>
          <w:tab w:val="left" w:pos="9963"/>
        </w:tabs>
        <w:autoSpaceDE w:val="0"/>
        <w:autoSpaceDN w:val="0"/>
        <w:spacing w:after="0" w:line="240" w:lineRule="atLeast"/>
        <w:ind w:left="425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4B5C2B" w14:textId="0A1BDF53" w:rsidR="00A22C73" w:rsidRDefault="00A22C73" w:rsidP="00A22C73">
      <w:pPr>
        <w:widowControl w:val="0"/>
        <w:tabs>
          <w:tab w:val="left" w:pos="8777"/>
          <w:tab w:val="left" w:pos="9963"/>
        </w:tabs>
        <w:autoSpaceDE w:val="0"/>
        <w:autoSpaceDN w:val="0"/>
        <w:spacing w:after="0" w:line="240" w:lineRule="atLeast"/>
        <w:ind w:left="425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5336CF" w14:textId="156AA43B" w:rsidR="00A22C73" w:rsidRDefault="00A22C73" w:rsidP="00A22C73">
      <w:pPr>
        <w:widowControl w:val="0"/>
        <w:tabs>
          <w:tab w:val="left" w:pos="8777"/>
          <w:tab w:val="left" w:pos="9963"/>
        </w:tabs>
        <w:autoSpaceDE w:val="0"/>
        <w:autoSpaceDN w:val="0"/>
        <w:spacing w:after="0" w:line="240" w:lineRule="atLeast"/>
        <w:ind w:left="425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2B16AB" w14:textId="0B11708C" w:rsidR="00A22C73" w:rsidRDefault="00A22C73" w:rsidP="00A22C73">
      <w:pPr>
        <w:widowControl w:val="0"/>
        <w:tabs>
          <w:tab w:val="left" w:pos="8777"/>
          <w:tab w:val="left" w:pos="9963"/>
        </w:tabs>
        <w:autoSpaceDE w:val="0"/>
        <w:autoSpaceDN w:val="0"/>
        <w:spacing w:after="0" w:line="240" w:lineRule="atLeast"/>
        <w:ind w:left="425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1756D8" w14:textId="156B67D9" w:rsidR="00A22C73" w:rsidRDefault="00A22C73" w:rsidP="00A22C73">
      <w:pPr>
        <w:widowControl w:val="0"/>
        <w:tabs>
          <w:tab w:val="left" w:pos="8777"/>
          <w:tab w:val="left" w:pos="9963"/>
        </w:tabs>
        <w:autoSpaceDE w:val="0"/>
        <w:autoSpaceDN w:val="0"/>
        <w:spacing w:after="0" w:line="240" w:lineRule="atLeast"/>
        <w:ind w:left="425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7BBF54" w14:textId="2A67EF01" w:rsidR="00A22C73" w:rsidRDefault="00A22C73" w:rsidP="00A22C73">
      <w:pPr>
        <w:widowControl w:val="0"/>
        <w:tabs>
          <w:tab w:val="left" w:pos="8777"/>
          <w:tab w:val="left" w:pos="9963"/>
        </w:tabs>
        <w:autoSpaceDE w:val="0"/>
        <w:autoSpaceDN w:val="0"/>
        <w:spacing w:after="0" w:line="240" w:lineRule="atLeast"/>
        <w:ind w:left="425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48CC02" w14:textId="77777777" w:rsidR="00A22C73" w:rsidRPr="00A22C73" w:rsidRDefault="00A22C73" w:rsidP="00A22C73">
      <w:pPr>
        <w:widowControl w:val="0"/>
        <w:tabs>
          <w:tab w:val="left" w:pos="8777"/>
          <w:tab w:val="left" w:pos="9963"/>
        </w:tabs>
        <w:autoSpaceDE w:val="0"/>
        <w:autoSpaceDN w:val="0"/>
        <w:spacing w:after="0" w:line="240" w:lineRule="atLeast"/>
        <w:ind w:left="425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DFB12B" w14:textId="77777777" w:rsidR="00A22C73" w:rsidRPr="00A22C73" w:rsidRDefault="00A22C73" w:rsidP="00A22C73">
      <w:pPr>
        <w:widowControl w:val="0"/>
        <w:tabs>
          <w:tab w:val="left" w:pos="8777"/>
          <w:tab w:val="left" w:pos="9963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14:paraId="3D9C94DD" w14:textId="77777777" w:rsidR="00A22C73" w:rsidRPr="00A22C73" w:rsidRDefault="00A22C73" w:rsidP="00A22C73">
      <w:pPr>
        <w:widowControl w:val="0"/>
        <w:tabs>
          <w:tab w:val="left" w:pos="8777"/>
          <w:tab w:val="left" w:pos="9963"/>
        </w:tabs>
        <w:autoSpaceDE w:val="0"/>
        <w:autoSpaceDN w:val="0"/>
        <w:spacing w:after="0" w:line="240" w:lineRule="atLeast"/>
        <w:jc w:val="center"/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ОДЕСА – 2022 р.</w:t>
      </w:r>
    </w:p>
    <w:p w14:paraId="3795FA38" w14:textId="3B07BEBF" w:rsidR="00A22C73" w:rsidRPr="00816C07" w:rsidRDefault="00A22C73" w:rsidP="00A22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 w:type="page"/>
      </w:r>
    </w:p>
    <w:p w14:paraId="740CDB2B" w14:textId="77777777" w:rsidR="00A22C73" w:rsidRPr="00816C07" w:rsidRDefault="00A22C73" w:rsidP="00A22C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</w:pPr>
    </w:p>
    <w:p w14:paraId="2C40E51A" w14:textId="77777777" w:rsidR="00A22C73" w:rsidRPr="00816C07" w:rsidRDefault="00A22C73" w:rsidP="00A22C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x-none"/>
        </w:rPr>
      </w:pPr>
      <w:r w:rsidRPr="00816C07">
        <w:rPr>
          <w:rFonts w:ascii="Times New Roman" w:eastAsia="Times New Roman" w:hAnsi="Times New Roman" w:cs="Times New Roman"/>
          <w:b/>
          <w:sz w:val="28"/>
          <w:szCs w:val="24"/>
          <w:lang w:val="uk-UA" w:eastAsia="x-none"/>
        </w:rPr>
        <w:t>ЗАГАЛЬНА ХАРАКТЕРИСТИКА РОБОТИ</w:t>
      </w:r>
    </w:p>
    <w:p w14:paraId="50A1E040" w14:textId="77777777" w:rsidR="00A22C73" w:rsidRPr="00816C07" w:rsidRDefault="00A22C73" w:rsidP="00A22C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</w:pPr>
    </w:p>
    <w:p w14:paraId="108F8EF2" w14:textId="77777777" w:rsidR="00A22C73" w:rsidRPr="00A22C73" w:rsidRDefault="00A22C73" w:rsidP="00A22C73">
      <w:pPr>
        <w:widowControl w:val="0"/>
        <w:autoSpaceDE w:val="0"/>
        <w:autoSpaceDN w:val="0"/>
        <w:adjustRightInd w:val="0"/>
        <w:spacing w:after="0" w:line="36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Актуальнiсть</w:t>
      </w:r>
      <w:proofErr w:type="spellEnd"/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теми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Фіскальна політика України на сучасному етапі розвитку направлена на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iнтеграцiю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свiтового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спiвтовариства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сприяє зростанню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кiлькостi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нацiональних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пiдприємств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які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здiйснюють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зовнiшньоекономiчну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дiяльнiсть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iноземних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суб’єктiв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господарювання,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дiють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територiї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нашої держави.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Вiд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їх ефективної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дiяльностi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залежить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рiвень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надходжень до державного бюджету, що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тiсно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пов’язане з налагодженням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механiзму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нарахування i справляння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податкiв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тому числі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вiд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здiйснення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зовнiшньоекономiчних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операцiй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безпосередньо акцизного податку. </w:t>
      </w:r>
    </w:p>
    <w:p w14:paraId="6E6B8A04" w14:textId="77777777" w:rsidR="00A22C73" w:rsidRPr="00A22C73" w:rsidRDefault="00A22C73" w:rsidP="00A22C73">
      <w:pPr>
        <w:widowControl w:val="0"/>
        <w:autoSpaceDE w:val="0"/>
        <w:autoSpaceDN w:val="0"/>
        <w:adjustRightInd w:val="0"/>
        <w:spacing w:after="0" w:line="36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Акцизний податок є одним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iз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найважливiших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податкiв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погляду на формування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дохiдної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частини бюджету: що викликано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специфiкою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пiдакцизної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продукцiї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ринку,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постiйними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змiнами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законодавчої бази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неефективнiстю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механiзму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адмiнiстрування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даного податку.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Вiдтак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бюджет є важливим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фiнансовим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iнструментом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який характеризує параметри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економiки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i дає змогу поставити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необхiднi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завдання розвитку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економiки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2E9AACD2" w14:textId="77777777" w:rsidR="00A22C73" w:rsidRPr="00A22C73" w:rsidRDefault="00A22C73" w:rsidP="00A22C73">
      <w:pPr>
        <w:widowControl w:val="0"/>
        <w:autoSpaceDE w:val="0"/>
        <w:autoSpaceDN w:val="0"/>
        <w:adjustRightInd w:val="0"/>
        <w:spacing w:after="0" w:line="36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Детальне вивчення особливостей справляння акцизного податку в Україні та при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ввезеннi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товарiв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митну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територiю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займає вагоме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мiсце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наукових працях,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оскiльки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акцизне оподаткування забезпечує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високi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надходження до бюджету, впливає на структуру споживання, а також може виступати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iнструментом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державної антикризової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полiтики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Але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необхiдно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зазначити, що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окремi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проблеми подальшого розвитку акцизного оподаткування є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малодослiдженими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Виникає потреба 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додаткових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дослiджень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щодо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розмiрiв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ставок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акцизiв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встановлення або уточнення обґрунтованого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перелiку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пiдакцизних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товарiв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механiзму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нарахування та сплати даного податку. </w:t>
      </w:r>
    </w:p>
    <w:p w14:paraId="7EE4C762" w14:textId="77777777" w:rsidR="00A22C73" w:rsidRPr="00A22C73" w:rsidRDefault="00A22C73" w:rsidP="00A22C73">
      <w:pPr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Усе це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актуалiзує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проблему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дослiдження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особливостей справляння акцизного податку в середині країни та при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ввезеннi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товарiв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митну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територiю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й обумовлює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необхiднiсть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їх глибшого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розумiння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29C1E54D" w14:textId="77777777" w:rsidR="00A22C73" w:rsidRPr="00A22C73" w:rsidRDefault="00A22C73" w:rsidP="00A22C73">
      <w:pPr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Сучаснi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проблеми оподаткування акцизним податком у тому числі 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сферi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зовнiшньоекономiчної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дiяльностi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знайшли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вiдображення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наукових працях багатьох як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вiтчизняних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так i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зарубiжних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науковцiв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Найбiльш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вiдомими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зарубiжними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авторами цих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дослiджень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є: В. Авер’янова, Б.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Бахричiдзе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Ш. 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Бланкарт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I. Озеров, У.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Петтi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Д.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Чернiк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I. 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Янжул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iнші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0E8687A1" w14:textId="77777777" w:rsidR="00A22C73" w:rsidRPr="00A22C73" w:rsidRDefault="00A22C73" w:rsidP="00A22C73">
      <w:pPr>
        <w:widowControl w:val="0"/>
        <w:autoSpaceDE w:val="0"/>
        <w:autoSpaceDN w:val="0"/>
        <w:adjustRightInd w:val="0"/>
        <w:spacing w:after="0" w:line="36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вiтчизнянiй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економiчнiй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лiтературi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проблеми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вiдображенi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працях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вiдомих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українських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науковцiв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практикiв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В. Андрущенка I. 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Бураковського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В. Вишневського, О.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Гребельника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О.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Данiлова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Дриги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I. Лютого, В.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Опарiна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А. Соколовської, В.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Федосова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Юрiя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iнших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A0DD7FF" w14:textId="77777777" w:rsidR="00A22C73" w:rsidRPr="00A22C73" w:rsidRDefault="00A22C73" w:rsidP="00A22C7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"/>
        </w:rPr>
      </w:pP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Данi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науковi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дослiдження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мають вагоме значення, втім не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вирiшують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питання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адмiнiстрування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акцизiв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у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сферi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зовнiшньоекономiчної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дiяльностi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на належному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рiвнi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.</w:t>
      </w:r>
    </w:p>
    <w:p w14:paraId="6024276E" w14:textId="77777777" w:rsidR="00A22C73" w:rsidRPr="00A22C73" w:rsidRDefault="00A22C73" w:rsidP="00A22C7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"/>
        </w:rPr>
      </w:pPr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Таким чином,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недостатнiсть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розробок на теоретичному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рiвнi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,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наявнiсть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практичних проблем, а також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необхiднiсть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проведення комплексного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дослiдження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теоретичних засад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адмiнiстрування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акцизiв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в середині держави та у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сферi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зовнiшньоекономiчної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дiяльностi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(ЗЕД) України зумовили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вибiр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 xml:space="preserve"> теми </w:t>
      </w:r>
      <w:proofErr w:type="spellStart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дослiдження</w:t>
      </w:r>
      <w:proofErr w:type="spellEnd"/>
      <w:r w:rsidRPr="00A22C73">
        <w:rPr>
          <w:rFonts w:ascii="Times New Roman" w:eastAsia="Calibri" w:hAnsi="Times New Roman" w:cs="Times New Roman"/>
          <w:sz w:val="28"/>
          <w:szCs w:val="28"/>
          <w:lang w:val="uk-UA" w:eastAsia="uk"/>
        </w:rPr>
        <w:t>.</w:t>
      </w:r>
    </w:p>
    <w:p w14:paraId="66097FF9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Мета i завдання </w:t>
      </w:r>
      <w:proofErr w:type="spellStart"/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дослiдження</w:t>
      </w:r>
      <w:proofErr w:type="spellEnd"/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Метою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дослiдження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обґрунтування теоретичних основ акцизного оподаткування в Україні,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монiторинг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фiскальних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наслiдкiв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 формуванні бюджетних ресурсів та визначення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напрямiв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удосконалення означених проблем на сучасному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етапi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57F6B92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Досягнення зазначеної мети зумовило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необхiднiсть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розв’язання таких </w:t>
      </w:r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завдань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544E7A08" w14:textId="77777777" w:rsidR="00A22C73" w:rsidRPr="00A22C73" w:rsidRDefault="00A22C73" w:rsidP="00A22C73">
      <w:pPr>
        <w:numPr>
          <w:ilvl w:val="0"/>
          <w:numId w:val="3"/>
        </w:numPr>
        <w:tabs>
          <w:tab w:val="num" w:pos="285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дослiдити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сутнiсть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акцизного оподаткування;</w:t>
      </w:r>
    </w:p>
    <w:p w14:paraId="61AC755F" w14:textId="77777777" w:rsidR="00A22C73" w:rsidRPr="00A22C73" w:rsidRDefault="00A22C73" w:rsidP="00A22C73">
      <w:pPr>
        <w:numPr>
          <w:ilvl w:val="0"/>
          <w:numId w:val="3"/>
        </w:numPr>
        <w:tabs>
          <w:tab w:val="num" w:pos="285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розкрити нормативно-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iнституцiйне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адмiнiстрування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акцизу;</w:t>
      </w:r>
    </w:p>
    <w:p w14:paraId="301FB001" w14:textId="77777777" w:rsidR="00A22C73" w:rsidRPr="00A22C73" w:rsidRDefault="00A22C73" w:rsidP="00A22C73">
      <w:pPr>
        <w:numPr>
          <w:ilvl w:val="0"/>
          <w:numId w:val="3"/>
        </w:numPr>
        <w:tabs>
          <w:tab w:val="num" w:pos="285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дослідити акцизне оподаткування в період трансформаційних перетворень;</w:t>
      </w:r>
    </w:p>
    <w:p w14:paraId="4AAFDED2" w14:textId="77777777" w:rsidR="00A22C73" w:rsidRPr="00A22C73" w:rsidRDefault="00A22C73" w:rsidP="00A22C73">
      <w:pPr>
        <w:numPr>
          <w:ilvl w:val="0"/>
          <w:numId w:val="3"/>
        </w:numPr>
        <w:tabs>
          <w:tab w:val="num" w:pos="285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проаналiзувати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надходження від акцизного оподаткування до бюджету;</w:t>
      </w:r>
    </w:p>
    <w:p w14:paraId="5803EA91" w14:textId="77777777" w:rsidR="00A22C73" w:rsidRPr="00A22C73" w:rsidRDefault="00A22C73" w:rsidP="00A22C73">
      <w:pPr>
        <w:numPr>
          <w:ilvl w:val="0"/>
          <w:numId w:val="3"/>
        </w:numPr>
        <w:tabs>
          <w:tab w:val="num" w:pos="285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оцiнити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ефективнiсть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контрольно-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перевiрочних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робiт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податкових та митних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294A9312" w14:textId="77777777" w:rsidR="00A22C73" w:rsidRPr="00A22C73" w:rsidRDefault="00A22C73" w:rsidP="00A22C73">
      <w:pPr>
        <w:numPr>
          <w:ilvl w:val="0"/>
          <w:numId w:val="3"/>
        </w:numPr>
        <w:tabs>
          <w:tab w:val="num" w:pos="285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висвiтлити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зарубiжний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досвiд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удосконалення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механiзму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нарахування акцизного податку;</w:t>
      </w:r>
    </w:p>
    <w:p w14:paraId="2CF8DD93" w14:textId="77777777" w:rsidR="00A22C73" w:rsidRPr="00A22C73" w:rsidRDefault="00A22C73" w:rsidP="00A22C73">
      <w:pPr>
        <w:numPr>
          <w:ilvl w:val="0"/>
          <w:numId w:val="3"/>
        </w:numPr>
        <w:tabs>
          <w:tab w:val="num" w:pos="285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сформулювати та обґрунтувати напрями вдосконалення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адмiнiстрування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акцизу в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259278B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Об’єктом </w:t>
      </w:r>
      <w:proofErr w:type="spellStart"/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дослiдження</w:t>
      </w:r>
      <w:proofErr w:type="spellEnd"/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 процес акцизного оподаткування в Україні.</w:t>
      </w:r>
    </w:p>
    <w:p w14:paraId="114EE2DB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Предметом </w:t>
      </w:r>
      <w:proofErr w:type="spellStart"/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дослiдження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виступають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теоретичнi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аспекти розвитку і провадження акцизного оподаткування в Україні у довоєнний, воєнний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поствоєнний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період.</w:t>
      </w:r>
    </w:p>
    <w:p w14:paraId="1A61997E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Методи </w:t>
      </w:r>
      <w:proofErr w:type="spellStart"/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дослiдження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Методологiчну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основу випускної кваліфікаційної роботи становить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дiалектичний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 наукового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пiзнання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системний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пiдхiд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вивчення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органiзацiї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акцизного оподаткування. </w:t>
      </w:r>
    </w:p>
    <w:p w14:paraId="2D4A3783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постановцi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вирiшеннi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поставлених завдань застосовувалися методи наукового абстрагування,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iсторичний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метод, методи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аналiзу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i синтезу, методи статистичного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порiвняння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групування, а також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графiчний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 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процесi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побудови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рисункiв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3407409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Теоретичною основою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дослiдження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фундаментальнi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положення української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зарубiжної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економiчної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науки,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досягнення сучасної юридичної думки,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дослiдження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провiдних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фахiвцiв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сферi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фінансів, права, оподаткування та митної справи. </w:t>
      </w:r>
    </w:p>
    <w:p w14:paraId="2AB02FC6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Інформаційну базу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роботи становлять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законодавчi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нормативно-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правовi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акти,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звiтнi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Державної служби статистики України,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Мiнiстерства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фiнансiв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України, Державної податкової служби України, Державної митної служби України, Державної казначейської служби України, а також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монографiчнi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дослiдження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публiкацiї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перiодичних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виданнях українських i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зарубiжних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авторiв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фінансів, оподаткування, митної справи.</w:t>
      </w:r>
    </w:p>
    <w:p w14:paraId="442582BD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Наукова новизна одержаних </w:t>
      </w:r>
      <w:proofErr w:type="spellStart"/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результатiв</w:t>
      </w:r>
      <w:proofErr w:type="spellEnd"/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полягає в тому, що робота є спробою комплексно, з використанням сучасних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пiзнання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визначити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сутнiсть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особливостi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акцизного оподаткування, що дозволило обґрунтувати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низку нових концептуальних положень i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висновкiв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надати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рекомендацiї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дослiджуваних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питань,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здiйсненнi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комплексного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дослiдження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еволюцiйного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розвитку податкової та митної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полiтик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оцiнки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ефективностi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їх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реалiзацiї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аналiзi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фiскальних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наслiдкiв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проблем удосконалення акцизного оподаткування. </w:t>
      </w:r>
    </w:p>
    <w:p w14:paraId="6E157542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Практичне значення одержаних </w:t>
      </w:r>
      <w:proofErr w:type="spellStart"/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результатiв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полягає у сформульованих та обґрунтованих наукових положеннях, висновках i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пропозицiях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дозволяють визначити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складовi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механiзму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адмiнiстрування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акцизiв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напрями їх ефективного використання в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контекстi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iнтеграцiї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свiтовий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економiчний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простiр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саме:</w:t>
      </w:r>
    </w:p>
    <w:p w14:paraId="484054B2" w14:textId="77777777" w:rsidR="00A22C73" w:rsidRPr="00A22C73" w:rsidRDefault="00A22C73" w:rsidP="00A22C73">
      <w:pPr>
        <w:numPr>
          <w:ilvl w:val="0"/>
          <w:numId w:val="4"/>
        </w:numPr>
        <w:spacing w:after="0" w:line="360" w:lineRule="auto"/>
        <w:ind w:left="0" w:firstLine="79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lang w:val="uk-UA" w:eastAsia="uk-UA"/>
        </w:rPr>
        <w:t xml:space="preserve">результати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lang w:val="uk-UA" w:eastAsia="uk-UA"/>
        </w:rPr>
        <w:t>дослiдження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можуть використовуватися для подальшого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lang w:val="uk-UA" w:eastAsia="uk-UA"/>
        </w:rPr>
        <w:t>аналiзу</w:t>
      </w:r>
      <w:proofErr w:type="spellEnd"/>
      <w:r w:rsidRPr="00A22C73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проблем акцизного оподаткування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66FE03E8" w14:textId="77777777" w:rsidR="00A22C73" w:rsidRPr="00A22C73" w:rsidRDefault="00A22C73" w:rsidP="00A22C73">
      <w:pPr>
        <w:numPr>
          <w:ilvl w:val="0"/>
          <w:numId w:val="4"/>
        </w:numPr>
        <w:spacing w:after="0" w:line="360" w:lineRule="auto"/>
        <w:ind w:left="0" w:firstLine="79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здiйснення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монiторингу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фiскальних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наслiдкiв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акцизного оподаткування;</w:t>
      </w:r>
    </w:p>
    <w:p w14:paraId="39E8D3EB" w14:textId="77777777" w:rsidR="00A22C73" w:rsidRPr="00A22C73" w:rsidRDefault="00A22C73" w:rsidP="00A22C73">
      <w:pPr>
        <w:numPr>
          <w:ilvl w:val="0"/>
          <w:numId w:val="4"/>
        </w:numPr>
        <w:spacing w:after="0" w:line="360" w:lineRule="auto"/>
        <w:ind w:left="0" w:firstLine="79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практичнiй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дiяльностi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визначення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напрямкiв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удосконалення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адмiнiстрування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акцизного податку.</w:t>
      </w:r>
    </w:p>
    <w:p w14:paraId="3416A2C8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Структура роботи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Випускна кваліфікаційна робота складається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iз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вступу, трьох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роздiлiв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висновкiв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списку використаних джерел. Обсяг роботи становить 106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сторiнок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Робота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мiстить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4 таблиці та 21 рисунок. Список використаних джерел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мiстить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62 найменування,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розмiщенi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7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сторiнках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73CEE55" w14:textId="77777777" w:rsidR="00A22C73" w:rsidRPr="00816C07" w:rsidRDefault="00A22C73" w:rsidP="00A2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78FFF61" w14:textId="77777777" w:rsidR="00A22C73" w:rsidRPr="00816C07" w:rsidRDefault="00A22C73" w:rsidP="00A22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6C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ОСНОВНИЙ ЗМІСТ РОБОТИ</w:t>
      </w:r>
    </w:p>
    <w:p w14:paraId="508FA537" w14:textId="77777777" w:rsidR="00A22C73" w:rsidRPr="00A22C73" w:rsidRDefault="00A22C73" w:rsidP="00A22C73">
      <w:pPr>
        <w:tabs>
          <w:tab w:val="num" w:pos="285"/>
          <w:tab w:val="num" w:pos="171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роботі розглядаються теоретичні основи акцизного оподаткування. Досліджено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сутнiсть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акцизного оподаткування та розкрито нормативно-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iнституцiйне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адмiнiстрування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акцизу. У другому розділі роботи досліджено  акцизне оподаткування в період трансформаційних перетворень,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проаналiзовано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надходження від акцизного оподаткування до бюджету та здійснено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оцiнку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ефективності контрольно-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перевiрочних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робiт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податкових та митних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У третьому розділі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висвiтлено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зарубiжний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досвiд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удосконалення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механiзму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нарахування акцизного податку та сформовано й обґрунтовано напрями вдосконалення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адмiнiстрування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акцизу в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1C219D4" w14:textId="77777777" w:rsidR="00A22C73" w:rsidRPr="00BE1050" w:rsidRDefault="00A22C73" w:rsidP="00A22C73">
      <w:pPr>
        <w:tabs>
          <w:tab w:val="num" w:pos="285"/>
          <w:tab w:val="num" w:pos="171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DBE3C47" w14:textId="77777777" w:rsidR="00A22C73" w:rsidRPr="00816C07" w:rsidRDefault="00A22C73" w:rsidP="00A22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61B5DB6" w14:textId="77777777" w:rsidR="00A22C73" w:rsidRPr="00816C07" w:rsidRDefault="00A22C73" w:rsidP="00A22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6C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ВИСНОВКИ</w:t>
      </w:r>
    </w:p>
    <w:p w14:paraId="2F6DBA16" w14:textId="77777777" w:rsidR="00A22C73" w:rsidRPr="00A22C73" w:rsidRDefault="00A22C73" w:rsidP="00A22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процесі дослідження акцизного оподаткування ми дійшли до таких найважливіших висновків:</w:t>
      </w:r>
    </w:p>
    <w:p w14:paraId="1F88ABC6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Акцизи поділяються на універсальні та специфічні.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Унiверсальнi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акцизи збираються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iз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усiх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груп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товарiв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при чому їх призначають для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усiх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виробництв, а сплачують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споживачi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еволюцiонували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вiд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податку з обороту в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однорiвневiй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багаторiвневiй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формах до податку на додану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вартiсть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тобто у податкових системах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бiльш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простi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унiверсальних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акцизiв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змiненi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бiльш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форми оподаткування. </w:t>
      </w:r>
    </w:p>
    <w:p w14:paraId="593283E0" w14:textId="77777777" w:rsidR="00A22C73" w:rsidRPr="00A22C73" w:rsidRDefault="00A22C73" w:rsidP="00A22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Специфічні акцизи встановлюються державою на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рiзнi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види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товарiв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насамперед, для того, щоб наповнювати казну й покривати видатки бюджету. У цьому випадку акцизи мають суттєву перевагу щодо того, що надходження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вiд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їх справляння є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постiйними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i лише опосередковано залежать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вiд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фiнансового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становища окремого платника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податкiв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Основною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особливiстю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використання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акцизiв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податковiй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комплексна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реалiзацiя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процесiв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за рахунок яких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здiйснюється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перерозподiл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фiнансових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ресурсiв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мiж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державою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кiнцевими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споживачами, 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промiжною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ланкою при цьому виступають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господарюючi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суб’єкти, що в таких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перерозподiльних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процесах забезпечують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мобiлiзацiю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акцизiв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бюджету країни.</w:t>
      </w:r>
    </w:p>
    <w:p w14:paraId="01FA0404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Важливим завданням держави є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iнституцiйне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фiскального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регулювання акцизного оподаткування через вироблення та використання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фiскального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iнструментарiю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спрямованого на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пiдвищення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ефективностi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діяльності. </w:t>
      </w:r>
    </w:p>
    <w:p w14:paraId="6F78C68C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Регулювання акцизного оподаткування в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здiйснюють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iнститути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законодавчої та виконавчої влади на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всiх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рiвнях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також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мiжнароднi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органiзацiї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членом яких є Україна.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Перелiк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повноваження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iнститутiв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державної влади, що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здiйснюють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регулювання торговельної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дiяльностi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також форми її державного регулювання та контролю визначаються Господарським кодексом України та законами України. Основним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iнструментом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руках держави, що забезпечує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можливiсть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створювати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або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iншi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стимули є закон, тобто формальна норма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поведiнки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При цьому закони можуть мати абсолютно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вiдмiннi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якiсть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i характер впливу на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економiчне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зростання. </w:t>
      </w:r>
    </w:p>
    <w:p w14:paraId="0765D271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3.</w:t>
      </w:r>
      <w:r w:rsidRPr="00A22C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Акцизне оподаткування в Україні пройшло тривалий час свого становлення і охоплює декілька основних етапів. В залежності від змін, які відбувалися в системі акцизного оподаткування його можна поділити на 5 етапів:</w:t>
      </w:r>
    </w:p>
    <w:p w14:paraId="6846DA8B" w14:textId="77777777" w:rsidR="00A22C73" w:rsidRPr="00A22C73" w:rsidRDefault="00A22C73" w:rsidP="00A22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етап (1991–1999 р.); ІІ етап (2000–2002 рр.); ІІІ етап (2003–2010 рр.); ІV етап (2011–2014 рр.); V етап (з 2015 р. по теперішній час). Процес адміністрування акцизного податку в Україні є складним і часто незрозумілим для платника. Це зумовлено різноманітністю груп підакцизних товарів, постійної зміни ставок та їх залежності від вартості, кількості товарів, одиниць вимірювання, курсу валюти тощо.</w:t>
      </w:r>
    </w:p>
    <w:p w14:paraId="013AE7C2" w14:textId="77777777" w:rsidR="00A22C73" w:rsidRPr="00A22C73" w:rsidRDefault="00A22C73" w:rsidP="00A22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</w:t>
      </w:r>
      <w:r w:rsidRPr="00A22C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останні роки питома вага акцизних податків, що надходять до державного бюджету України у ВВП мала неоднозначну тендецію, зростаючи у 2016 році та знизившись до 3,0% у 2021 році. Водночас частка акцизного податку з вироблених в Україні підакцизних товарів (продукції) у ВВП в 2021 р., порівняно з 2015 р. зменшилась на 0,5%, а питома вага акцизного податку з ввезених на митну територію України підакцизних товарів (продукції) у ВВП за це й же період зросла на 0,3%. Середньорічний абсолютний приріст акцизного податку з вироблених в Україні підакцизних товарів (продукції) за період 2015 – 2021 рр. становить біля 5 млрд. грн., а акцизного податку з ввезених на митну територію України підакцизних товарів (продукції) біля 6 млрд. грн.</w:t>
      </w:r>
    </w:p>
    <w:p w14:paraId="4BD9A81C" w14:textId="77777777" w:rsidR="00A22C73" w:rsidRPr="00A22C73" w:rsidRDefault="00A22C73" w:rsidP="00A22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22C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Сформована в Україні система податкового адміністрування у цілому та акцизних податків зокрема є динамічною системою, яка постійно розвивається й за формальними познаками відповідає європейській практиці. </w:t>
      </w:r>
    </w:p>
    <w:p w14:paraId="78132192" w14:textId="77777777" w:rsidR="00A22C73" w:rsidRPr="00A22C73" w:rsidRDefault="00A22C73" w:rsidP="00A22C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5. Ухилення від акцизного оподаткування – правопорушення, що полягає у невиконанні або неналежному виконанні платником своїх обов’язків зі сплати. Завданням податкового та митного контролю є своєчасне виявлення та запобігання ухиленням від сплати платежів та підвищення економічної безпеки держави.</w:t>
      </w:r>
    </w:p>
    <w:p w14:paraId="10FBDCD2" w14:textId="77777777" w:rsidR="00A22C73" w:rsidRPr="00A22C73" w:rsidRDefault="00A22C73" w:rsidP="00A22C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Джерела інформації включають: законодавчі акти, нормативно-правові документи, планово-регулюючі, організаційно-розпорядчі документи, фактографічну інформацію (первинні облікові документи, бухгалтерський і податковий облік та звітність, матеріали внутрішнього контролю).</w:t>
      </w:r>
    </w:p>
    <w:p w14:paraId="295324A7" w14:textId="77777777" w:rsidR="00A22C73" w:rsidRPr="00A22C73" w:rsidRDefault="00A22C73" w:rsidP="00A22C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Методичними прийомами митного контролю є загальнонаукові та конкретні емпіричні (власні) прийоми контролю (органолептичні, розрахунково-аналітичні та прийоми документалістики, висвітлені у спеціальній літературі.</w:t>
      </w:r>
    </w:p>
    <w:p w14:paraId="75B1F5A1" w14:textId="77777777" w:rsidR="00A22C73" w:rsidRPr="00A22C73" w:rsidRDefault="00A22C73" w:rsidP="00A22C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uk-UA"/>
        </w:rPr>
        <w:t>У сфері виробництва пального проведено 68 перевірок, донараховано 29,5 млн грн, у сфері зберігання пального – 1 438 перевірок, донараховано 404,4 млн грн; проведено 346 перевірок власників ліцензій на право оптової торгівлі за відсутністю місця торгівлі, донараховано 2 107,0 млн грн; оптова торгівля за наявністю місць торгівлі – проведено 425 перевірок, донараховано 85,6 млн грн, роздрібна торгівля – 2 348 перевірки, донараховано 332,9 млн гривень.</w:t>
      </w:r>
    </w:p>
    <w:p w14:paraId="47290EF5" w14:textId="77777777" w:rsidR="00A22C73" w:rsidRPr="00A22C73" w:rsidRDefault="00A22C73" w:rsidP="00A22C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 xml:space="preserve">6. Враховуючи досвід зарубіжних країн, до резервів підвищення ефективності акцизного оподаткування слід віднести: розширення переліку підакцизних товарів за рахунок долучення до їх складу товарів, що за своїми ознаками є підакцизними; трансформацію використання інструментів регулювання структури споживчого ринку. </w:t>
      </w:r>
    </w:p>
    <w:p w14:paraId="0D2FB562" w14:textId="77777777" w:rsidR="00A22C73" w:rsidRPr="00A22C73" w:rsidRDefault="00A22C73" w:rsidP="00A22C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>Прийнятий Україною євроінтеграційний курс потребує врахування заходів бюджетно-податкової, зокрема акцизної політики з урахуванням особливості економічного і фінансового розвитку нашої країни, поточних і перспективних змін інституційного середовища, впливу глобальних викликів та необхідності ліквідації наслідків війни.</w:t>
      </w:r>
    </w:p>
    <w:p w14:paraId="7A4E250C" w14:textId="77777777" w:rsidR="00A22C73" w:rsidRPr="00A22C73" w:rsidRDefault="00A22C73" w:rsidP="00A22C73">
      <w:pPr>
        <w:widowControl w:val="0"/>
        <w:autoSpaceDE w:val="0"/>
        <w:autoSpaceDN w:val="0"/>
        <w:adjustRightInd w:val="0"/>
        <w:spacing w:after="0" w:line="360" w:lineRule="auto"/>
        <w:ind w:firstLine="6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uk-UA"/>
        </w:rPr>
        <w:t xml:space="preserve">7. </w:t>
      </w:r>
      <w:r w:rsidRPr="00A22C7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 xml:space="preserve">Перспективними напрямами розвитку адміністрування акцизного </w:t>
      </w:r>
      <w:r w:rsidRPr="00A22C7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lastRenderedPageBreak/>
        <w:t xml:space="preserve">оподаткування є впровадження сучасних технологій податкового адміністрування (інформатизація процесів податкового адміністрування, спрощення податкового обліку і звітності (наприклад, із використанням сучасних інформаційно-комунікаційних технологій), уніфікація процедур оподаткування, стандартизація процесів адміністрування, електронне звітування тощо), нових інструментів контролю над обігом підакцизних товарів, упровадження ризик-орієнтованих </w:t>
      </w:r>
      <w:proofErr w:type="spellStart"/>
      <w:r w:rsidRPr="00A22C7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>методик</w:t>
      </w:r>
      <w:proofErr w:type="spellEnd"/>
      <w:r w:rsidRPr="00A22C7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 xml:space="preserve"> податкового адміністрування для ліквідації схем мінімізації сплати індивідуального акцизу, своєчасне реагування на формування нових сегментів ринків підакцизних товарів, застосування превентивних механізмів запобігання уникненню/мінімізації сплати акцизних податків тощо.</w:t>
      </w:r>
    </w:p>
    <w:p w14:paraId="22F04342" w14:textId="77777777" w:rsidR="00A22C73" w:rsidRPr="00A22C73" w:rsidRDefault="00A22C73" w:rsidP="00A22C73">
      <w:pPr>
        <w:widowControl w:val="0"/>
        <w:autoSpaceDE w:val="0"/>
        <w:autoSpaceDN w:val="0"/>
        <w:adjustRightInd w:val="0"/>
        <w:spacing w:after="0" w:line="360" w:lineRule="auto"/>
        <w:ind w:firstLine="6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 xml:space="preserve">В умовах воєнного стану варто доповнити зміни до Податкового кодексу України в частині справляння акцизного податку та ПДВ з електроенергії та деяких інших </w:t>
      </w:r>
      <w:proofErr w:type="spellStart"/>
      <w:r w:rsidRPr="00A22C7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>енергопродуктів</w:t>
      </w:r>
      <w:proofErr w:type="spellEnd"/>
      <w:r w:rsidRPr="00A22C7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>, оскільки прийняті парламентом України законодавчі зміни не мінімізують всі цінові ризики, пов’язані з війною. Зокрема, вважаємо за доцільне запровадити тимчасове звільнення від акцизного податку електричної енергії та знизити ставку ПДВ до 7% на енергетичне вугілля, яке використовується для виробництва електричної та теплової енергії. За оцінкою Світового банку «очікується, що зростання цін на енергоносії, яке досягло найвищого рівня з часів нафтової кризи 1973 року, перевищить 50% у 2022 році, а потім знизиться у 2023 та 2024 році». Отже, цінові та інфляційні чинники будуть домінуючими та чинитимуть тиск на енергоринки України та країн світу.</w:t>
      </w:r>
    </w:p>
    <w:p w14:paraId="7D4F3D15" w14:textId="02270EC1" w:rsidR="00A22C73" w:rsidRPr="00A22C73" w:rsidRDefault="00A22C73" w:rsidP="00A22C7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0E5B89A" w14:textId="77777777" w:rsidR="00A22C73" w:rsidRPr="00A22C73" w:rsidRDefault="00A22C73" w:rsidP="00A22C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АНОТАЦІЯ</w:t>
      </w:r>
    </w:p>
    <w:p w14:paraId="27E7A0D9" w14:textId="77777777" w:rsidR="00A22C73" w:rsidRPr="00A22C73" w:rsidRDefault="00A22C73" w:rsidP="00A22C7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Михайлюк А. В.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Акцизне оподаткування</w:t>
      </w:r>
      <w:r w:rsidRPr="00A2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в системі формування бюджетних ресурсів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кваліфікаційна робота на здобуття освітнього ступеня магістра зі спеціальності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072 </w:t>
      </w:r>
      <w:r w:rsidRPr="00A22C73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«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Фінанси,</w:t>
      </w:r>
      <w:r w:rsidRPr="00A22C7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банківська</w:t>
      </w:r>
      <w:r w:rsidRPr="00A22C73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справа</w:t>
      </w:r>
      <w:r w:rsidRPr="00A22C73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A22C73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страхування»</w:t>
      </w:r>
      <w:r w:rsidRPr="00A22C73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A22C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магістерською</w:t>
      </w:r>
      <w:r w:rsidRPr="00A22C73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програмою</w:t>
      </w:r>
      <w:bookmarkStart w:id="6" w:name="_Hlk87736007"/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«Управління публічними фінансами»</w:t>
      </w:r>
      <w:bookmarkEnd w:id="6"/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, Одеський</w:t>
      </w:r>
      <w:r w:rsidRPr="00A22C7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національний</w:t>
      </w:r>
      <w:r w:rsidRPr="00A22C73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економічний</w:t>
      </w:r>
      <w:r w:rsidRPr="00A22C7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</w:t>
      </w:r>
      <w:r w:rsidRPr="00A22C73">
        <w:rPr>
          <w:rFonts w:ascii="Times New Roman" w:eastAsia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22C73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14:paraId="7C126172" w14:textId="77777777" w:rsidR="00A22C73" w:rsidRPr="00A22C73" w:rsidRDefault="00A22C73" w:rsidP="00A22C7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м. Одеса,</w:t>
      </w:r>
      <w:r w:rsidRPr="00A22C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/>
        </w:rPr>
        <w:t>2021 рік</w:t>
      </w:r>
    </w:p>
    <w:p w14:paraId="68315097" w14:textId="77777777" w:rsidR="00A22C73" w:rsidRPr="00A22C73" w:rsidRDefault="00A22C73" w:rsidP="00A22C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EDAC90" w14:textId="77777777" w:rsidR="00A22C73" w:rsidRPr="00A22C73" w:rsidRDefault="00A22C73" w:rsidP="00A22C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Кваліфікаційна робота магістра складається з трьох розділів. Об’єкт дослідження – процес акцизного оподаткування в Україні.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2C7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Предметом </w:t>
      </w:r>
      <w:proofErr w:type="spellStart"/>
      <w:r w:rsidRPr="00A22C7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дослiдження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виступають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теоретичнi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аспекти розвитку і провадження акцизного оподаткування в Україні у довоєнний, воєнний та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поствоєнний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період.</w:t>
      </w:r>
    </w:p>
    <w:p w14:paraId="2701E5E2" w14:textId="77777777" w:rsidR="00A22C73" w:rsidRPr="00A22C73" w:rsidRDefault="00A22C73" w:rsidP="00A22C73">
      <w:pPr>
        <w:tabs>
          <w:tab w:val="num" w:pos="285"/>
          <w:tab w:val="num" w:pos="171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роботі розглядаються теоретичні основи акцизного оподаткування. Досліджено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сутнiсть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акцизного оподаткування та розкрито нормативно-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iнституцiйне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адмiнiстрування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акцизу. У другому розділі роботи досліджено  акцизне оподаткування в період трансформаційних перетворень,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проаналiзовано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надходження від акцизного оподаткування до бюджету та здійснено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оцiнку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ефективності контрольно-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перевiрочних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робiт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податкових та митних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органiв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У третьому розділі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висвiтлено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зарубiжний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досвiд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удосконалення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механiзму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нарахування акцизного податку та сформовано й обґрунтовано напрями вдосконалення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адмiнiстрування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акцизу в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Українi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EDCD337" w14:textId="77777777" w:rsidR="00A22C73" w:rsidRPr="00A22C73" w:rsidRDefault="00A22C73" w:rsidP="00A22C73">
      <w:pPr>
        <w:tabs>
          <w:tab w:val="num" w:pos="285"/>
          <w:tab w:val="num" w:pos="171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89F9CBA" w14:textId="77777777" w:rsidR="00A22C73" w:rsidRPr="00A22C73" w:rsidRDefault="00A22C73" w:rsidP="00A22C73">
      <w:pPr>
        <w:tabs>
          <w:tab w:val="num" w:pos="285"/>
          <w:tab w:val="num" w:pos="171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2C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Ключові слова: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Податок, акцизний податок, непрямий податок, податкові органи, митні органи.</w:t>
      </w:r>
    </w:p>
    <w:p w14:paraId="2E4C6ACE" w14:textId="77777777" w:rsidR="00A22C73" w:rsidRPr="00A22C73" w:rsidRDefault="00A22C73" w:rsidP="00A22C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AA3581" w14:textId="77777777" w:rsidR="00A22C73" w:rsidRPr="00A22C73" w:rsidRDefault="00A22C73" w:rsidP="00A22C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2C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ANNOTATION</w:t>
      </w:r>
    </w:p>
    <w:p w14:paraId="50D37971" w14:textId="77777777" w:rsidR="00A22C73" w:rsidRPr="00A22C73" w:rsidRDefault="00A22C73" w:rsidP="00A22C73">
      <w:pPr>
        <w:tabs>
          <w:tab w:val="num" w:pos="285"/>
          <w:tab w:val="num" w:pos="171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Mykhailiuk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A. V., «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Excise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taxation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system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formation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budget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resources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thesis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Master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degree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specialty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072 «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Finance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banking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insurance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under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program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Public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Finance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Management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Odesa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National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University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Economics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BE6CD40" w14:textId="77777777" w:rsidR="00A22C73" w:rsidRPr="00A22C73" w:rsidRDefault="00A22C73" w:rsidP="00A22C73">
      <w:pPr>
        <w:tabs>
          <w:tab w:val="num" w:pos="285"/>
          <w:tab w:val="num" w:pos="171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Odesa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2021</w:t>
      </w:r>
    </w:p>
    <w:p w14:paraId="405CEAFD" w14:textId="77777777" w:rsidR="00A22C73" w:rsidRPr="00A22C73" w:rsidRDefault="00A22C73" w:rsidP="00A22C73">
      <w:pPr>
        <w:tabs>
          <w:tab w:val="num" w:pos="285"/>
          <w:tab w:val="num" w:pos="171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7AFC47A" w14:textId="77777777" w:rsidR="00A22C73" w:rsidRPr="00A22C73" w:rsidRDefault="00A22C73" w:rsidP="00A22C73">
      <w:pPr>
        <w:tabs>
          <w:tab w:val="num" w:pos="285"/>
          <w:tab w:val="num" w:pos="171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master's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qualification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work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consists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three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sections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object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study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process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excise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taxation</w:t>
      </w:r>
      <w:bookmarkStart w:id="7" w:name="_GoBack"/>
      <w:bookmarkEnd w:id="7"/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Ukraine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subject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research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theoretical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practical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aspects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development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implementation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excise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taxation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Ukraine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pre-war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war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post-war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period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D114A9F" w14:textId="77777777" w:rsidR="00A22C73" w:rsidRPr="00A22C73" w:rsidRDefault="00A22C73" w:rsidP="00A22C73">
      <w:pPr>
        <w:tabs>
          <w:tab w:val="num" w:pos="285"/>
          <w:tab w:val="num" w:pos="171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paper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examines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theoretical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foundations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excise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taxation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essence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excise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taxation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has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been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studied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normative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institutional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provision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excise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administration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has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been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revealed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second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part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work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excise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taxation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during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period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transformational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transformations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was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investigated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revenues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from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excise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taxation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budget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were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analyzed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effectiveness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control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audit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work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customs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authorities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was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evaluated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third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chapter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foreign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experience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improving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excise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assessment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mechanism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highlighted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directions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improving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excise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administration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Ukraine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are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formed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substantiated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B68887B" w14:textId="77777777" w:rsidR="00A22C73" w:rsidRPr="00A22C73" w:rsidRDefault="00A22C73" w:rsidP="00A22C73">
      <w:pPr>
        <w:tabs>
          <w:tab w:val="num" w:pos="285"/>
          <w:tab w:val="num" w:pos="171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48C4E7" w14:textId="77777777" w:rsidR="00A22C73" w:rsidRPr="00A22C73" w:rsidRDefault="00A22C73" w:rsidP="00A22C73">
      <w:pPr>
        <w:tabs>
          <w:tab w:val="num" w:pos="285"/>
          <w:tab w:val="num" w:pos="171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B6B32E" w14:textId="77777777" w:rsidR="00A22C73" w:rsidRPr="00A22C73" w:rsidRDefault="00A22C73" w:rsidP="00A22C73">
      <w:pPr>
        <w:tabs>
          <w:tab w:val="num" w:pos="285"/>
          <w:tab w:val="num" w:pos="171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22C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Keywords</w:t>
      </w:r>
      <w:proofErr w:type="spellEnd"/>
      <w:r w:rsidRPr="00A22C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excise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indirect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authorities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customs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authorities</w:t>
      </w:r>
      <w:proofErr w:type="spellEnd"/>
      <w:r w:rsidRPr="00A2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3E75520" w14:textId="77777777" w:rsidR="00A22C73" w:rsidRPr="00A22C73" w:rsidRDefault="00A22C73" w:rsidP="00A22C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CB99F31" w14:textId="77777777" w:rsidR="00A22C73" w:rsidRPr="00816C07" w:rsidRDefault="00A22C73" w:rsidP="00A22C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A22C73" w:rsidRPr="0081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C7FAE"/>
    <w:multiLevelType w:val="hybridMultilevel"/>
    <w:tmpl w:val="1B748EDE"/>
    <w:lvl w:ilvl="0" w:tplc="46ACC00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6F62"/>
    <w:multiLevelType w:val="hybridMultilevel"/>
    <w:tmpl w:val="9BA69D18"/>
    <w:lvl w:ilvl="0" w:tplc="7DC0A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44D03"/>
    <w:multiLevelType w:val="hybridMultilevel"/>
    <w:tmpl w:val="69A66698"/>
    <w:lvl w:ilvl="0" w:tplc="9F7014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8"/>
        </w:tabs>
        <w:ind w:left="1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8"/>
        </w:tabs>
        <w:ind w:left="1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8"/>
        </w:tabs>
        <w:ind w:left="2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</w:rPr>
    </w:lvl>
  </w:abstractNum>
  <w:abstractNum w:abstractNumId="3" w15:restartNumberingAfterBreak="0">
    <w:nsid w:val="7C4B24AA"/>
    <w:multiLevelType w:val="hybridMultilevel"/>
    <w:tmpl w:val="854EAA78"/>
    <w:lvl w:ilvl="0" w:tplc="BD76CB18">
      <w:start w:val="1"/>
      <w:numFmt w:val="bullet"/>
      <w:lvlText w:val="-"/>
      <w:lvlJc w:val="left"/>
      <w:pPr>
        <w:tabs>
          <w:tab w:val="num" w:pos="1712"/>
        </w:tabs>
        <w:ind w:left="1428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D4"/>
    <w:rsid w:val="002B46F6"/>
    <w:rsid w:val="00A22C73"/>
    <w:rsid w:val="00F5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C988"/>
  <w15:chartTrackingRefBased/>
  <w15:docId w15:val="{C17E0B48-C258-444E-9C9F-28E10C3B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C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2624</Words>
  <Characters>14958</Characters>
  <Application>Microsoft Office Word</Application>
  <DocSecurity>0</DocSecurity>
  <Lines>124</Lines>
  <Paragraphs>35</Paragraphs>
  <ScaleCrop>false</ScaleCrop>
  <Company/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2022-11-17T17:33:00Z</dcterms:created>
  <dcterms:modified xsi:type="dcterms:W3CDTF">2022-11-17T17:38:00Z</dcterms:modified>
</cp:coreProperties>
</file>